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96.png" ContentType="image/png"/>
  <Override PartName="/word/media/rId98.png" ContentType="image/png"/>
  <Override PartName="/word/media/rId59.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100.png" ContentType="image/png"/>
  <Override PartName="/word/media/rId102.png" ContentType="image/png"/>
  <Override PartName="/word/media/rId82.png" ContentType="image/png"/>
  <Override PartName="/word/media/rId84.png" ContentType="image/png"/>
  <Override PartName="/word/media/rId86.png" ContentType="image/png"/>
  <Override PartName="/word/media/rId92.png" ContentType="image/png"/>
  <Override PartName="/word/media/rId89.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fmaguire/mag_sim_paper@054274b</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also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developing methods optimised for these elements as well as incorporating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(10.5281/zenodo.4005062) and data repository</w:t>
      </w:r>
      <w:r>
        <w:t xml:space="preserve"> </w:t>
      </w:r>
      <w:hyperlink r:id="rId43">
        <w:r>
          <w:rPr>
            <w:rStyle w:val="Hyperlink"/>
          </w:rPr>
          <w:t xml:space="preserve">https://osf.io/nrejs/</w:t>
        </w:r>
      </w:hyperlink>
      <w:r>
        <w:t xml:space="preserve"> </w:t>
      </w:r>
      <w:r>
        <w:t xml:space="preserve">(10.17605/OSF.IO/NREJS)</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successfully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has been shown to involve the loss of some information.</w:t>
      </w:r>
      <w:r>
        <w:t xml:space="preserve"> </w:t>
      </w:r>
      <w:r>
        <w:t xml:space="preserve">This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such as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 10 genomes with 1-10 plasmids, 10 genomes with &gt;10% of chromosomal DNA predicted to reside in GIs, and 10 genomes with &lt;1% of chromosomal DNA predicted to reside in GIs.</w:t>
      </w:r>
    </w:p>
    <w:p>
      <w:pPr>
        <w:pStyle w:val="BodyText"/>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synthetic-read-coverage-and-depth"/>
      <w:r>
        <w:t xml:space="preserve">Synthetic Read Coverage and Depth</w:t>
      </w:r>
      <w:bookmarkEnd w:id="50"/>
    </w:p>
    <w:p>
      <w:pPr>
        <w:pStyle w:val="FirstParagraph"/>
      </w:pPr>
      <w:r>
        <w:t xml:space="preserve">The trimmed synthetic reads was mapped back to each reference replicon using bowtie2 (v2.4.1), and sorted and indexed using samtools (v1.10).</w:t>
      </w:r>
      <w:r>
        <w:t xml:space="preserve"> </w:t>
      </w:r>
      <w:r>
        <w:t xml:space="preserve">The coverage of each reference replicon is calculated using</w:t>
      </w:r>
      <w:r>
        <w:t xml:space="preserve"> </w:t>
      </w:r>
      <w:r>
        <w:rPr>
          <w:rStyle w:val="VerbatimChar"/>
        </w:rPr>
        <w:t xml:space="preserve">samtools coverage</w:t>
      </w:r>
      <w:r>
        <w:t xml:space="preserve"> </w:t>
      </w:r>
      <w:r>
        <w:t xml:space="preserve">and the per base sequencing depth calculated using</w:t>
      </w:r>
      <w:r>
        <w:t xml:space="preserve"> </w:t>
      </w:r>
      <w:r>
        <w:rPr>
          <w:rStyle w:val="VerbatimChar"/>
        </w:rPr>
        <w:t xml:space="preserve">samtools depth</w:t>
      </w:r>
      <w:r>
        <w:t xml:space="preserve">.</w:t>
      </w:r>
      <w:r>
        <w:t xml:space="preserve"> </w:t>
      </w:r>
      <w:r>
        <w:t xml:space="preserve">The average and per base depth are then plotted using R (v.3.4.2).</w:t>
      </w:r>
    </w:p>
    <w:p>
      <w:pPr>
        <w:pStyle w:val="Heading4"/>
      </w:pPr>
      <w:bookmarkStart w:id="51" w:name="chromosomal-coverage"/>
      <w:r>
        <w:t xml:space="preserve">Chromosomal Coverage</w:t>
      </w:r>
      <w:bookmarkEnd w:id="51"/>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the presence of closely related genomes in the metagenome on the ability to bin chromosomes we generated a phylogenetic tree for all the input genomes.</w:t>
      </w:r>
      <w:r>
        <w:t xml:space="preserve"> </w:t>
      </w:r>
      <w:r>
        <w:t xml:space="preserve">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using 1000 ultrafast-bootstraps and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The phylogeny was then visualised using the interative Tree of Life (iToL) v4</w:t>
      </w:r>
      <w:r>
        <w:t xml:space="preserve"> </w:t>
      </w:r>
      <w:r>
        <w:t xml:space="preserve">[</w:t>
      </w:r>
      <w:hyperlink w:anchor="ref-1HcDy95aA">
        <w:r>
          <w:rPr>
            <w:rStyle w:val="Hyperlink"/>
          </w:rPr>
          <w:t xml:space="preserve">63</w:t>
        </w:r>
      </w:hyperlink>
      <w:r>
        <w:t xml:space="preserve">]</w:t>
      </w:r>
      <w:r>
        <w:t xml:space="preserve">.</w:t>
      </w:r>
      <w:r>
        <w:t xml:space="preserve"> </w:t>
      </w:r>
      <w:r>
        <w:t xml:space="preserve">Pairwise branch distances were extracted from the resulting tree using ETE3 v3.1.1</w:t>
      </w:r>
      <w:r>
        <w:t xml:space="preserve"> </w:t>
      </w:r>
      <w:r>
        <w:t xml:space="preserve">[</w:t>
      </w:r>
      <w:hyperlink w:anchor="ref-5F7ii9Ji">
        <w:r>
          <w:rPr>
            <w:rStyle w:val="Hyperlink"/>
          </w:rPr>
          <w:t xml:space="preserve">64</w:t>
        </w:r>
      </w:hyperlink>
      <w:r>
        <w:t xml:space="preserve">]</w:t>
      </w:r>
      <w:r>
        <w:t xml:space="preserve"> </w:t>
      </w:r>
      <w:r>
        <w:t xml:space="preserve">and regressed using a linear model against coverage (via seaborn v0.10.0</w:t>
      </w:r>
      <w:r>
        <w:t xml:space="preserve"> </w:t>
      </w:r>
      <w:r>
        <w:t xml:space="preserve">[</w:t>
      </w:r>
      <w:hyperlink w:anchor="ref-LeLYF4iC">
        <w:r>
          <w:rPr>
            <w:rStyle w:val="Hyperlink"/>
          </w:rPr>
          <w:t xml:space="preserve">65</w:t>
        </w:r>
      </w:hyperlink>
      <w:r>
        <w:t xml:space="preserve">]</w:t>
      </w:r>
      <w:r>
        <w:t xml:space="preserve">) and using a poisson logistic regression model (via statsmodel v0.12.0</w:t>
      </w:r>
      <w:r>
        <w:t xml:space="preserve"> </w:t>
      </w:r>
      <w:r>
        <w:t xml:space="preserve">[</w:t>
      </w:r>
      <w:hyperlink w:anchor="ref-15kEEkiul">
        <w:r>
          <w:rPr>
            <w:rStyle w:val="Hyperlink"/>
          </w:rPr>
          <w:t xml:space="preserve">66</w:t>
        </w:r>
      </w:hyperlink>
      <w:r>
        <w:t xml:space="preserve">]</w:t>
      </w:r>
      <w:r>
        <w:t xml:space="preserve"> </w:t>
      </w:r>
      <w:r>
        <w:t xml:space="preserve">against contamination. R^2 and McFadden’s pseudo-R^2 were calculated for each model respectively using the statsmodel library.</w:t>
      </w:r>
    </w:p>
    <w:p>
      <w:pPr>
        <w:pStyle w:val="Heading4"/>
      </w:pPr>
      <w:bookmarkStart w:id="52" w:name="plasmid-and-gi-coverage"/>
      <w:r>
        <w:t xml:space="preserve">Plasmid and GI Coverage</w:t>
      </w:r>
      <w:bookmarkEnd w:id="52"/>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3" w:name="Xc2b63e89516f6a9527bb9ff599c3e15cc49266b"/>
      <w:r>
        <w:t xml:space="preserve">Antimicrobial Resistance and Virulence Factors Assessment</w:t>
      </w:r>
      <w:bookmarkEnd w:id="53"/>
    </w:p>
    <w:p>
      <w:pPr>
        <w:pStyle w:val="Heading4"/>
      </w:pPr>
      <w:bookmarkStart w:id="54" w:name="detection-of-amrvf-genes"/>
      <w:r>
        <w:t xml:space="preserve">Detection of AMR/VF Genes</w:t>
      </w:r>
      <w:bookmarkEnd w:id="54"/>
    </w:p>
    <w:p>
      <w:pPr>
        <w:pStyle w:val="FirstParagraph"/>
      </w:pPr>
      <w:r>
        <w:t xml:space="preserve">For the reference genomes, as well as 12 sets of MAGs, prodigal</w:t>
      </w:r>
      <w:r>
        <w:t xml:space="preserve"> </w:t>
      </w:r>
      <w:r>
        <w:t xml:space="preserve">[</w:t>
      </w:r>
      <w:hyperlink w:anchor="ref-lX665mdh">
        <w:r>
          <w:rPr>
            <w:rStyle w:val="Hyperlink"/>
          </w:rPr>
          <w:t xml:space="preserve">67</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68</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69</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5" w:name="amrvf-gene-recovery"/>
      <w:r>
        <w:t xml:space="preserve">AMR/VF Gene Recovery</w:t>
      </w:r>
      <w:bookmarkEnd w:id="55"/>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6" w:name="results"/>
      <w:r>
        <w:t xml:space="preserve">Results</w:t>
      </w:r>
      <w:bookmarkEnd w:id="56"/>
    </w:p>
    <w:p>
      <w:pPr>
        <w:pStyle w:val="Heading3"/>
      </w:pPr>
      <w:bookmarkStart w:id="57" w:name="recovery-of-genomic-elements"/>
      <w:r>
        <w:t xml:space="preserve">Recovery of Genomic Elements</w:t>
      </w:r>
      <w:bookmarkEnd w:id="57"/>
    </w:p>
    <w:p>
      <w:pPr>
        <w:pStyle w:val="Heading4"/>
      </w:pPr>
      <w:bookmarkStart w:id="58" w:name="chromosomes"/>
      <w:r>
        <w:t xml:space="preserve">Chromosomes</w:t>
      </w:r>
      <w:bookmarkEnd w:id="58"/>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S2</w:t>
        </w:r>
      </w:hyperlink>
      <w:r>
        <w:t xml:space="preserve">).</w:t>
      </w:r>
    </w:p>
    <w:bookmarkStart w:id="0" w:name="fig:speciescov"/>
    <w:p>
      <w:pPr>
        <w:pStyle w:val="CaptionedFigure"/>
      </w:pPr>
      <w:bookmarkStart w:id="60"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9"/>
                    <a:stretch>
                      <a:fillRect/>
                    </a:stretch>
                  </pic:blipFill>
                  <pic:spPr bwMode="auto">
                    <a:xfrm>
                      <a:off x="0" y="0"/>
                      <a:ext cx="5943600" cy="2641600"/>
                    </a:xfrm>
                    <a:prstGeom prst="rect">
                      <a:avLst/>
                    </a:prstGeom>
                    <a:noFill/>
                    <a:ln w="9525">
                      <a:noFill/>
                      <a:headEnd/>
                      <a:tailEnd/>
                    </a:ln>
                  </pic:spPr>
                </pic:pic>
              </a:graphicData>
            </a:graphic>
          </wp:inline>
        </w:drawing>
      </w:r>
      <w:bookmarkEnd w:id="60"/>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Looking at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2"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1"/>
                    <a:stretch>
                      <a:fillRect/>
                    </a:stretch>
                  </pic:blipFill>
                  <pic:spPr bwMode="auto">
                    <a:xfrm>
                      <a:off x="0" y="0"/>
                      <a:ext cx="5943600" cy="5483776"/>
                    </a:xfrm>
                    <a:prstGeom prst="rect">
                      <a:avLst/>
                    </a:prstGeom>
                    <a:noFill/>
                    <a:ln w="9525">
                      <a:noFill/>
                      <a:headEnd/>
                      <a:tailEnd/>
                    </a:ln>
                  </pic:spPr>
                </pic:pic>
              </a:graphicData>
            </a:graphic>
          </wp:inline>
        </w:drawing>
      </w:r>
      <w:bookmarkEnd w:id="62"/>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potentially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S3</w:t>
        </w:r>
      </w:hyperlink>
      <w:r>
        <w:t xml:space="preserve">), however, the proportion of variance explained by the regressions were very low for both analyses.</w:t>
      </w:r>
      <w:r>
        <w:t xml:space="preserve"> </w:t>
      </w:r>
      <w:r>
        <w:t xml:space="preserve">There was also not a clear relationship between coverage of a bin and purity with frequent observations of low purity but high coverage bins and pure but low coverage bins.</w:t>
      </w:r>
    </w:p>
    <w:p>
      <w:pPr>
        <w:pStyle w:val="Heading4"/>
      </w:pPr>
      <w:bookmarkStart w:id="63" w:name="plasmids"/>
      <w:r>
        <w:t xml:space="preserve">Plasmids</w:t>
      </w:r>
      <w:bookmarkEnd w:id="63"/>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5"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4"/>
                    <a:stretch>
                      <a:fillRect/>
                    </a:stretch>
                  </pic:blipFill>
                  <pic:spPr bwMode="auto">
                    <a:xfrm>
                      <a:off x="0" y="0"/>
                      <a:ext cx="5943600" cy="2641600"/>
                    </a:xfrm>
                    <a:prstGeom prst="rect">
                      <a:avLst/>
                    </a:prstGeom>
                    <a:noFill/>
                    <a:ln w="9525">
                      <a:noFill/>
                      <a:headEnd/>
                      <a:tailEnd/>
                    </a:ln>
                  </pic:spPr>
                </pic:pic>
              </a:graphicData>
            </a:graphic>
          </wp:inline>
        </w:drawing>
      </w:r>
      <w:bookmarkEnd w:id="65"/>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6" w:name="genomic-islands"/>
      <w:r>
        <w:t xml:space="preserve">Genomic Islands</w:t>
      </w:r>
      <w:bookmarkEnd w:id="66"/>
    </w:p>
    <w:p>
      <w:pPr>
        <w:pStyle w:val="FirstParagraph"/>
      </w:pPr>
      <w:r>
        <w:t xml:space="preserve">GIs were poorly assembled and correctly binned across methods (Fig.</w:t>
      </w:r>
      <w:r>
        <w:t xml:space="preserve"> </w:t>
      </w:r>
      <w:hyperlink w:anchor="fig:gis">
        <w:r>
          <w:rPr>
            <w:rStyle w:val="Hyperlink"/>
          </w:rPr>
          <w:t xml:space="preserve">4</w:t>
        </w:r>
      </w:hyperlink>
      <w:r>
        <w:t xml:space="preserve">), although unlike plasmids, the performance of different methods were generally less variable.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8"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7"/>
                    <a:stretch>
                      <a:fillRect/>
                    </a:stretch>
                  </pic:blipFill>
                  <pic:spPr bwMode="auto">
                    <a:xfrm>
                      <a:off x="0" y="0"/>
                      <a:ext cx="5943600" cy="2641600"/>
                    </a:xfrm>
                    <a:prstGeom prst="rect">
                      <a:avLst/>
                    </a:prstGeom>
                    <a:noFill/>
                    <a:ln w="9525">
                      <a:noFill/>
                      <a:headEnd/>
                      <a:tailEnd/>
                    </a:ln>
                  </pic:spPr>
                </pic:pic>
              </a:graphicData>
            </a:graphic>
          </wp:inline>
        </w:drawing>
      </w:r>
      <w:bookmarkEnd w:id="68"/>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9" w:name="amr-genes"/>
      <w:r>
        <w:t xml:space="preserve">AMR Genes</w:t>
      </w:r>
      <w:bookmarkEnd w:id="69"/>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1"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70"/>
                    <a:stretch>
                      <a:fillRect/>
                    </a:stretch>
                  </pic:blipFill>
                  <pic:spPr bwMode="auto">
                    <a:xfrm>
                      <a:off x="0" y="0"/>
                      <a:ext cx="5943600" cy="5492410"/>
                    </a:xfrm>
                    <a:prstGeom prst="rect">
                      <a:avLst/>
                    </a:prstGeom>
                    <a:noFill/>
                    <a:ln w="9525">
                      <a:noFill/>
                      <a:headEnd/>
                      <a:tailEnd/>
                    </a:ln>
                  </pic:spPr>
                </pic:pic>
              </a:graphicData>
            </a:graphic>
          </wp:inline>
        </w:drawing>
      </w:r>
      <w:bookmarkEnd w:id="71"/>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2" w:name="virulence-factor-genes"/>
      <w:r>
        <w:t xml:space="preserve">Virulence Factor Genes</w:t>
      </w:r>
      <w:bookmarkEnd w:id="72"/>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4"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3"/>
                    <a:stretch>
                      <a:fillRect/>
                    </a:stretch>
                  </pic:blipFill>
                  <pic:spPr bwMode="auto">
                    <a:xfrm>
                      <a:off x="0" y="0"/>
                      <a:ext cx="5943600" cy="5462697"/>
                    </a:xfrm>
                    <a:prstGeom prst="rect">
                      <a:avLst/>
                    </a:prstGeom>
                    <a:noFill/>
                    <a:ln w="9525">
                      <a:noFill/>
                      <a:headEnd/>
                      <a:tailEnd/>
                    </a:ln>
                  </pic:spPr>
                </pic:pic>
              </a:graphicData>
            </a:graphic>
          </wp:inline>
        </w:drawing>
      </w:r>
      <w:bookmarkEnd w:id="74"/>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5" w:name="comparisons-of-rates-of-loss"/>
      <w:r>
        <w:t xml:space="preserve">Comparisons of Rates of Loss</w:t>
      </w:r>
      <w:bookmarkEnd w:id="75"/>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S5</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This also emphasises that better metagenomic assembly doesn’t necessarily result in better binning of GIs and plasmids.</w:t>
      </w:r>
    </w:p>
    <w:p>
      <w:pPr>
        <w:pStyle w:val="Heading3"/>
      </w:pPr>
      <w:bookmarkStart w:id="76" w:name="simulated-read-analysis"/>
      <w:r>
        <w:t xml:space="preserve">Simulated Read Analysis</w:t>
      </w:r>
      <w:bookmarkEnd w:id="76"/>
    </w:p>
    <w:p>
      <w:pPr>
        <w:pStyle w:val="FirstParagraph"/>
      </w:pPr>
      <w:r>
        <w:t xml:space="preserve">To further explore the potential causes of poor assembly and binning of MGEs we analysed the resultant coverage distribution from mapping our synthetically generated reads back to the original chromosomes, genomic islands, and plasmids from which they were simulated.</w:t>
      </w:r>
      <w:r>
        <w:t xml:space="preserve"> </w:t>
      </w:r>
      <w:r>
        <w:t xml:space="preserve">This analysis identified that while coverage of our synthetic metagenome reads was &gt;96% on average across all reference genomes, the coverage of GIs and plasmids displayed high levels of variance (Fig</w:t>
      </w:r>
      <w:r>
        <w:t xml:space="preserve"> </w:t>
      </w:r>
      <w:hyperlink w:anchor="fig:avgcoverage">
        <w:r>
          <w:rPr>
            <w:rStyle w:val="Hyperlink"/>
          </w:rPr>
          <w:t xml:space="preserve">7</w:t>
        </w:r>
      </w:hyperlink>
      <w:r>
        <w:t xml:space="preserve">) with huge spikes and falls in read depth (see Fig.</w:t>
      </w:r>
      <w:r>
        <w:t xml:space="preserve"> </w:t>
      </w:r>
      <w:hyperlink w:anchor="fig:depthbyspp">
        <w:r>
          <w:rPr>
            <w:rStyle w:val="Hyperlink"/>
          </w:rPr>
          <w:t xml:space="preserve">S7</w:t>
        </w:r>
      </w:hyperlink>
      <w:r>
        <w:t xml:space="preserve"> </w:t>
      </w:r>
      <w:r>
        <w:t xml:space="preserve">and</w:t>
      </w:r>
      <w:r>
        <w:t xml:space="preserve"> </w:t>
      </w:r>
      <w:hyperlink w:anchor="fig:perbasedepth">
        <w:r>
          <w:rPr>
            <w:rStyle w:val="Hyperlink"/>
          </w:rPr>
          <w:t xml:space="preserve">S8</w:t>
        </w:r>
      </w:hyperlink>
      <w:r>
        <w:t xml:space="preserve">.</w:t>
      </w:r>
      <w:r>
        <w:t xml:space="preserve"> </w:t>
      </w:r>
      <w:r>
        <w:t xml:space="preserve">This variability in coverage can be attributed to repeated elements and compositional features in and around these MGEs.</w:t>
      </w:r>
      <w:r>
        <w:t xml:space="preserve"> </w:t>
      </w:r>
      <w:r>
        <w:t xml:space="preserve">This issue is likely responsible for failures to accurately estimate the read-depth/coverage in these regions, upon which both assembly (in traversal of the assembly graph) and binning rely.</w:t>
      </w:r>
    </w:p>
    <w:bookmarkStart w:id="0" w:name="fig:avgcoverage"/>
    <w:p>
      <w:pPr>
        <w:pStyle w:val="CaptionedFigure"/>
      </w:pPr>
      <w:bookmarkStart w:id="78" w:name="fig:avgcoverage"/>
      <w:r>
        <w:drawing>
          <wp:inline>
            <wp:extent cx="458729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7"/>
                    <a:stretch>
                      <a:fillRect/>
                    </a:stretch>
                  </pic:blipFill>
                  <pic:spPr bwMode="auto">
                    <a:xfrm>
                      <a:off x="0" y="0"/>
                      <a:ext cx="4587290" cy="3669832"/>
                    </a:xfrm>
                    <a:prstGeom prst="rect">
                      <a:avLst/>
                    </a:prstGeom>
                    <a:noFill/>
                    <a:ln w="9525">
                      <a:noFill/>
                      <a:headEnd/>
                      <a:tailEnd/>
                    </a:ln>
                  </pic:spPr>
                </pic:pic>
              </a:graphicData>
            </a:graphic>
          </wp:inline>
        </w:drawing>
      </w:r>
      <w:bookmarkEnd w:id="78"/>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9" w:name="discussion"/>
      <w:r>
        <w:t xml:space="preserve">Discussion</w:t>
      </w:r>
      <w:bookmarkEnd w:id="79"/>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the presence of closely related genomes may have impacted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The trade-off between false positives and sensitivity in the binning of closely related sequences is definitely an area in need of further exploration.</w:t>
      </w:r>
      <w:r>
        <w:br/>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 (a conclusion supported by the observed high coverage variability of MGEs when mapping simulated reads back to the original genomes).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70</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71</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72</w:t>
        </w:r>
      </w:hyperlink>
      <w:r>
        <w:t xml:space="preserve">]</w:t>
      </w:r>
      <w:r>
        <w:t xml:space="preserve">.</w:t>
      </w:r>
      <w:r>
        <w:t xml:space="preserve"> </w:t>
      </w:r>
      <w:r>
        <w:t xml:space="preserve">However, the lower throughput of long-read technologies and high error rate of long-read methods presents a challenge when characterising MGEs in metagenomes, especially those of greater complexity.</w:t>
      </w:r>
      <w:r>
        <w:t xml:space="preserve"> </w:t>
      </w:r>
      <w:r>
        <w:t xml:space="preserve">Further research is needed to fully characterise the performance of different long-read protocols and analytical approaches (including hybrid approaches with short-reads)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73</w:t>
        </w:r>
      </w:hyperlink>
      <w:r>
        <w:t xml:space="preserve">–</w:t>
      </w:r>
      <w:hyperlink w:anchor="ref-WJT5of5h">
        <w:r>
          <w:rPr>
            <w:rStyle w:val="Hyperlink"/>
          </w:rPr>
          <w:t xml:space="preserve">77</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w:t>
      </w:r>
      <w:r>
        <w:t xml:space="preserve"> </w:t>
      </w:r>
      <w:hyperlink w:anchor="fig:geneContent">
        <w:r>
          <w:rPr>
            <w:rStyle w:val="Hyperlink"/>
          </w:rPr>
          <w:t xml:space="preserve">Fig.</w:t>
        </w:r>
        <w:r>
          <w:rPr>
            <w:rStyle w:val="Hyperlink"/>
          </w:rPr>
          <w:t xml:space="preserve"> </w:t>
        </w:r>
        <w:r>
          <w:rPr>
            <w:rStyle w:val="Hyperlink"/>
          </w:rPr>
          <w:t xml:space="preserve">S3</w:t>
        </w:r>
      </w:hyperlink>
      <w:r>
        <w:t xml:space="preserve">).</w:t>
      </w:r>
      <w:r>
        <w:t xml:space="preserve"> </w:t>
      </w:r>
      <w:r>
        <w:t xml:space="preserve">We also observed a higher variability in both the read depth and read coverage in MGEs regions (Fig.</w:t>
      </w:r>
      <w:r>
        <w:t xml:space="preserve"> </w:t>
      </w:r>
      <w:hyperlink w:anchor="fig:avgcoverage">
        <w:r>
          <w:rPr>
            <w:rStyle w:val="Hyperlink"/>
          </w:rPr>
          <w:t xml:space="preserve">7</w:t>
        </w:r>
      </w:hyperlink>
      <w:r>
        <w:t xml:space="preserve">,</w:t>
      </w:r>
      <w:r>
        <w:t xml:space="preserve"> </w:t>
      </w:r>
      <w:hyperlink w:anchor="fig:depthbyspp">
        <w:r>
          <w:rPr>
            <w:rStyle w:val="Hyperlink"/>
          </w:rPr>
          <w:t xml:space="preserve">S7</w:t>
        </w:r>
      </w:hyperlink>
      <w:r>
        <w:t xml:space="preserve">, and</w:t>
      </w:r>
      <w:r>
        <w:t xml:space="preserve"> </w:t>
      </w:r>
      <w:hyperlink w:anchor="fig:perbasedepth">
        <w:r>
          <w:rPr>
            <w:rStyle w:val="Hyperlink"/>
          </w:rPr>
          <w:t xml:space="preserve">S8</w:t>
        </w:r>
      </w:hyperlink>
      <w:r>
        <w:t xml:space="preserve">).</w:t>
      </w:r>
      <w:r>
        <w:t xml:space="preserve"> </w:t>
      </w:r>
      <w:r>
        <w:t xml:space="preserve">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78</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79</w:t>
        </w:r>
      </w:hyperlink>
      <w:r>
        <w:t xml:space="preserve">–</w:t>
      </w:r>
      <w:hyperlink w:anchor="ref-mUmGRb3J">
        <w:r>
          <w:rPr>
            <w:rStyle w:val="Hyperlink"/>
          </w:rPr>
          <w:t xml:space="preserve">81</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82</w:t>
        </w:r>
      </w:hyperlink>
      <w:r>
        <w:t xml:space="preserve">–</w:t>
      </w:r>
      <w:hyperlink w:anchor="ref-69R3Dd1j">
        <w:r>
          <w:rPr>
            <w:rStyle w:val="Hyperlink"/>
          </w:rPr>
          <w:t xml:space="preserve">85</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86</w:t>
        </w:r>
      </w:hyperlink>
      <w:r>
        <w:t xml:space="preserve">–</w:t>
      </w:r>
      <w:hyperlink w:anchor="ref-4A1l9TZE">
        <w:r>
          <w:rPr>
            <w:rStyle w:val="Hyperlink"/>
          </w:rPr>
          <w:t xml:space="preserve">88</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89</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90</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91</w:t>
        </w:r>
      </w:hyperlink>
      <w:r>
        <w:t xml:space="preserve">]</w:t>
      </w:r>
      <w:r>
        <w:t xml:space="preserve">) without overfitting to a particular metagenome.</w:t>
      </w:r>
    </w:p>
    <w:p>
      <w:pPr>
        <w:pStyle w:val="BodyText"/>
      </w:pPr>
      <w:r>
        <w:t xml:space="preserve">This study has shown that while short-read MAG-binning approaches provide a useful tool to study a bacterial species’ core chromosomal elements they have severe limitations in the recovery of MGEs.</w:t>
      </w:r>
      <w:r>
        <w:t xml:space="preserve"> </w:t>
      </w:r>
      <w:r>
        <w:t xml:space="preserve">The majority of these MGEs will either fail to be assembled or be incorrectly binned.</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currently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92</w:t>
        </w:r>
      </w:hyperlink>
      <w:r>
        <w:t xml:space="preserve">]</w:t>
      </w:r>
      <w:r>
        <w:t xml:space="preserve">, long-read sequencing, plasmid specialised assembly approaches</w:t>
      </w:r>
      <w:r>
        <w:t xml:space="preserve"> </w:t>
      </w:r>
      <w:r>
        <w:t xml:space="preserve">[</w:t>
      </w:r>
      <w:hyperlink w:anchor="ref-5bpLJeyh">
        <w:r>
          <w:rPr>
            <w:rStyle w:val="Hyperlink"/>
          </w:rPr>
          <w:t xml:space="preserve">70</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80" w:name="supplementals"/>
      <w:r>
        <w:t xml:space="preserve">Supplementary Information</w:t>
      </w:r>
      <w:bookmarkEnd w:id="80"/>
    </w:p>
    <w:p>
      <w:pPr>
        <w:pStyle w:val="Heading3"/>
      </w:pPr>
      <w:bookmarkStart w:id="81" w:name="impact-of-related-genomes-on-mag-binning"/>
      <w:r>
        <w:t xml:space="preserve">Impact of Related Genomes on MAG binning</w:t>
      </w:r>
      <w:bookmarkEnd w:id="81"/>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weak potential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bookmarkStart w:id="0" w:name="fig:phylo,"/>
    <w:p>
      <w:pPr>
        <w:pStyle w:val="CaptionedFigure"/>
      </w:pPr>
      <w:bookmarkStart w:id="83" w:name="fig:phylo,"/>
      <w:r>
        <w:drawing>
          <wp:inline>
            <wp:extent cx="5943600" cy="4973097"/>
            <wp:effectExtent b="0" l="0" r="0" t="0"/>
            <wp:docPr descr="Figure S1: Unrooted universal single-copy gene concatenation maximum-likelihood (IQ-TREE) phylogeny. Percentage of ultrafast-bootstraps (n=1000) supporting each bifurcation are annotated on each node. Phylogeny was visualised using iToL." title="" id="1" name="Picture"/>
            <a:graphic>
              <a:graphicData uri="http://schemas.openxmlformats.org/drawingml/2006/picture">
                <pic:pic>
                  <pic:nvPicPr>
                    <pic:cNvPr descr="images/S1_busco_phylogeny.png" id="0" name="Picture"/>
                    <pic:cNvPicPr>
                      <a:picLocks noChangeArrowheads="1" noChangeAspect="1"/>
                    </pic:cNvPicPr>
                  </pic:nvPicPr>
                  <pic:blipFill>
                    <a:blip r:embed="rId82"/>
                    <a:stretch>
                      <a:fillRect/>
                    </a:stretch>
                  </pic:blipFill>
                  <pic:spPr bwMode="auto">
                    <a:xfrm>
                      <a:off x="0" y="0"/>
                      <a:ext cx="5943600" cy="4973097"/>
                    </a:xfrm>
                    <a:prstGeom prst="rect">
                      <a:avLst/>
                    </a:prstGeom>
                    <a:noFill/>
                    <a:ln w="9525">
                      <a:noFill/>
                      <a:headEnd/>
                      <a:tailEnd/>
                    </a:ln>
                  </pic:spPr>
                </pic:pic>
              </a:graphicData>
            </a:graphic>
          </wp:inline>
        </w:drawing>
      </w:r>
      <w:bookmarkEnd w:id="83"/>
    </w:p>
    <w:p>
      <w:pPr>
        <w:pStyle w:val="ImageCaption"/>
      </w:pPr>
      <w:r>
        <w:t xml:space="preserve">Figure S1: Unrooted universal single-copy gene concatenation maximum-likelihood (IQ-TREE) phylogeny. Percentage of ultrafast-bootstraps (n=1000) supporting each bifurcation are annotated on each node. Phylogeny was visualised using iToL.</w:t>
      </w:r>
    </w:p>
    <w:bookmarkEnd w:id="0"/>
    <w:bookmarkStart w:id="0" w:name="fig:coverphylo,"/>
    <w:p>
      <w:pPr>
        <w:pStyle w:val="CaptionedFigure"/>
      </w:pPr>
      <w:bookmarkStart w:id="85" w:name="fig:coverphylo,"/>
      <w:r>
        <w:drawing>
          <wp:inline>
            <wp:extent cx="5943600" cy="7823385"/>
            <wp:effectExtent b="0" l="0" r="0" t="0"/>
            <wp:docPr descr="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 title="" id="1" name="Picture"/>
            <a:graphic>
              <a:graphicData uri="http://schemas.openxmlformats.org/drawingml/2006/picture">
                <pic:pic>
                  <pic:nvPicPr>
                    <pic:cNvPr descr="images/S2_best_coverage_phylo_dist.png" id="0" name="Picture"/>
                    <pic:cNvPicPr>
                      <a:picLocks noChangeArrowheads="1" noChangeAspect="1"/>
                    </pic:cNvPicPr>
                  </pic:nvPicPr>
                  <pic:blipFill>
                    <a:blip r:embed="rId84"/>
                    <a:stretch>
                      <a:fillRect/>
                    </a:stretch>
                  </pic:blipFill>
                  <pic:spPr bwMode="auto">
                    <a:xfrm>
                      <a:off x="0" y="0"/>
                      <a:ext cx="5943600" cy="7823385"/>
                    </a:xfrm>
                    <a:prstGeom prst="rect">
                      <a:avLst/>
                    </a:prstGeom>
                    <a:noFill/>
                    <a:ln w="9525">
                      <a:noFill/>
                      <a:headEnd/>
                      <a:tailEnd/>
                    </a:ln>
                  </pic:spPr>
                </pic:pic>
              </a:graphicData>
            </a:graphic>
          </wp:inline>
        </w:drawing>
      </w:r>
      <w:bookmarkEnd w:id="85"/>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p>
    <w:bookmarkEnd w:id="0"/>
    <w:bookmarkStart w:id="0" w:name="fig:purityphylo,"/>
    <w:p>
      <w:pPr>
        <w:pStyle w:val="CaptionedFigure"/>
      </w:pPr>
      <w:bookmarkStart w:id="87" w:name="fig:purityphylo,"/>
      <w:r>
        <w:drawing>
          <wp:inline>
            <wp:extent cx="5943600" cy="7858615"/>
            <wp:effectExtent b="0" l="0" r="0" t="0"/>
            <wp:docPr descr="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 title="" id="1" name="Picture"/>
            <a:graphic>
              <a:graphicData uri="http://schemas.openxmlformats.org/drawingml/2006/picture">
                <pic:pic>
                  <pic:nvPicPr>
                    <pic:cNvPr descr="images/S3_purity_phylo_dist.png" id="0" name="Picture"/>
                    <pic:cNvPicPr>
                      <a:picLocks noChangeArrowheads="1" noChangeAspect="1"/>
                    </pic:cNvPicPr>
                  </pic:nvPicPr>
                  <pic:blipFill>
                    <a:blip r:embed="rId86"/>
                    <a:stretch>
                      <a:fillRect/>
                    </a:stretch>
                  </pic:blipFill>
                  <pic:spPr bwMode="auto">
                    <a:xfrm>
                      <a:off x="0" y="0"/>
                      <a:ext cx="5943600" cy="7858615"/>
                    </a:xfrm>
                    <a:prstGeom prst="rect">
                      <a:avLst/>
                    </a:prstGeom>
                    <a:noFill/>
                    <a:ln w="9525">
                      <a:noFill/>
                      <a:headEnd/>
                      <a:tailEnd/>
                    </a:ln>
                  </pic:spPr>
                </pic:pic>
              </a:graphicData>
            </a:graphic>
          </wp:inline>
        </w:drawing>
      </w:r>
      <w:bookmarkEnd w:id="87"/>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p>
    <w:bookmarkEnd w:id="0"/>
    <w:p>
      <w:pPr>
        <w:pStyle w:val="Heading3"/>
      </w:pPr>
      <w:bookmarkStart w:id="88" w:name="recovery-of-specific-gene-content"/>
      <w:r>
        <w:t xml:space="preserve">Recovery of Specific Gene Content</w:t>
      </w:r>
      <w:bookmarkEnd w:id="88"/>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90"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9"/>
                    <a:stretch>
                      <a:fillRect/>
                    </a:stretch>
                  </pic:blipFill>
                  <pic:spPr bwMode="auto">
                    <a:xfrm>
                      <a:off x="0" y="0"/>
                      <a:ext cx="5943600" cy="2641600"/>
                    </a:xfrm>
                    <a:prstGeom prst="rect">
                      <a:avLst/>
                    </a:prstGeom>
                    <a:noFill/>
                    <a:ln w="9525">
                      <a:noFill/>
                      <a:headEnd/>
                      <a:tailEnd/>
                    </a:ln>
                  </pic:spPr>
                </pic:pic>
              </a:graphicData>
            </a:graphic>
          </wp:inline>
        </w:drawing>
      </w:r>
      <w:bookmarkEnd w:id="90"/>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91" w:name="comparisons-of-rates-of-loss-1"/>
      <w:r>
        <w:t xml:space="preserve">Comparisons of Rates of Loss</w:t>
      </w:r>
      <w:bookmarkEnd w:id="91"/>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93"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92"/>
                    <a:stretch>
                      <a:fillRect/>
                    </a:stretch>
                  </pic:blipFill>
                  <pic:spPr bwMode="auto">
                    <a:xfrm>
                      <a:off x="0" y="0"/>
                      <a:ext cx="5943600" cy="4622800"/>
                    </a:xfrm>
                    <a:prstGeom prst="rect">
                      <a:avLst/>
                    </a:prstGeom>
                    <a:noFill/>
                    <a:ln w="9525">
                      <a:noFill/>
                      <a:headEnd/>
                      <a:tailEnd/>
                    </a:ln>
                  </pic:spPr>
                </pic:pic>
              </a:graphicData>
            </a:graphic>
          </wp:inline>
        </w:drawing>
      </w:r>
      <w:bookmarkEnd w:id="93"/>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94" w:name="fig:geneContent,"/>
      <w:r>
        <w:drawing>
          <wp:inline>
            <wp:extent cx="5943600" cy="2641600"/>
            <wp:effectExtent b="0" l="0" r="0" t="0"/>
            <wp:docPr descr="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9"/>
                    <a:stretch>
                      <a:fillRect/>
                    </a:stretch>
                  </pic:blipFill>
                  <pic:spPr bwMode="auto">
                    <a:xfrm>
                      <a:off x="0" y="0"/>
                      <a:ext cx="5943600" cy="2641600"/>
                    </a:xfrm>
                    <a:prstGeom prst="rect">
                      <a:avLst/>
                    </a:prstGeom>
                    <a:noFill/>
                    <a:ln w="9525">
                      <a:noFill/>
                      <a:headEnd/>
                      <a:tailEnd/>
                    </a:ln>
                  </pic:spPr>
                </pic:pic>
              </a:graphicData>
            </a:graphic>
          </wp:inline>
        </w:drawing>
      </w:r>
      <w:bookmarkEnd w:id="94"/>
    </w:p>
    <w:p>
      <w:pPr>
        <w:pStyle w:val="ImageCaption"/>
      </w:pPr>
      <w:r>
        <w:t xml:space="preserve">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95" w:name="detailed-simulated-read-depth-analysis"/>
      <w:r>
        <w:t xml:space="preserve">Detailed Simulated Read Depth Analysis</w:t>
      </w:r>
      <w:bookmarkEnd w:id="95"/>
    </w:p>
    <w:bookmarkStart w:id="0" w:name="fig:depthbyspp_A,"/>
    <w:p>
      <w:pPr>
        <w:pStyle w:val="CaptionedFigure"/>
      </w:pPr>
      <w:bookmarkStart w:id="97" w:name="fig:depthbyspp_A,"/>
      <w:r>
        <w:drawing>
          <wp:inline>
            <wp:extent cx="5943600" cy="8216152"/>
            <wp:effectExtent b="0" l="0" r="0" t="0"/>
            <wp:docPr descr="Figure S7A: " title="" id="1" name="Picture"/>
            <a:graphic>
              <a:graphicData uri="http://schemas.openxmlformats.org/drawingml/2006/picture">
                <pic:pic>
                  <pic:nvPicPr>
                    <pic:cNvPr descr="images/DepthByspp_A.png" id="0" name="Picture"/>
                    <pic:cNvPicPr>
                      <a:picLocks noChangeArrowheads="1" noChangeAspect="1"/>
                    </pic:cNvPicPr>
                  </pic:nvPicPr>
                  <pic:blipFill>
                    <a:blip r:embed="rId96"/>
                    <a:stretch>
                      <a:fillRect/>
                    </a:stretch>
                  </pic:blipFill>
                  <pic:spPr bwMode="auto">
                    <a:xfrm>
                      <a:off x="0" y="0"/>
                      <a:ext cx="5943600" cy="8216152"/>
                    </a:xfrm>
                    <a:prstGeom prst="rect">
                      <a:avLst/>
                    </a:prstGeom>
                    <a:noFill/>
                    <a:ln w="9525">
                      <a:noFill/>
                      <a:headEnd/>
                      <a:tailEnd/>
                    </a:ln>
                  </pic:spPr>
                </pic:pic>
              </a:graphicData>
            </a:graphic>
          </wp:inline>
        </w:drawing>
      </w:r>
      <w:bookmarkEnd w:id="97"/>
    </w:p>
    <w:p>
      <w:pPr>
        <w:pStyle w:val="ImageCaption"/>
      </w:pPr>
      <w:r>
        <w:t xml:space="preserve">Figure S7A:</w:t>
      </w:r>
      <w:r>
        <w:t xml:space="preserve"> </w:t>
      </w:r>
    </w:p>
    <w:bookmarkEnd w:id="0"/>
    <w:bookmarkStart w:id="0" w:name="fig:depthbyspp,"/>
    <w:p>
      <w:pPr>
        <w:pStyle w:val="CaptionedFigure"/>
      </w:pPr>
      <w:bookmarkStart w:id="99" w:name="fig:depthbyspp,"/>
      <w:r>
        <w:drawing>
          <wp:inline>
            <wp:extent cx="5943600" cy="8216152"/>
            <wp:effectExtent b="0" l="0" r="0" t="0"/>
            <wp:docPr descr="Figure S7: Average Read Depth Per Species. Across all of the reference species (facet), the read depth of plasmids (orange) is considerably higher relative to chromosomes (blue), likely due to the copy number regime randomly assigned. Genomic islands (GIs; green) exhibited a relatively lower depth compared to chromosomes. The variability in depth is notably higher in and around GIs and plasmids." title="" id="1" name="Picture"/>
            <a:graphic>
              <a:graphicData uri="http://schemas.openxmlformats.org/drawingml/2006/picture">
                <pic:pic>
                  <pic:nvPicPr>
                    <pic:cNvPr descr="images/DepthByspp_B.png" id="0" name="Picture"/>
                    <pic:cNvPicPr>
                      <a:picLocks noChangeArrowheads="1" noChangeAspect="1"/>
                    </pic:cNvPicPr>
                  </pic:nvPicPr>
                  <pic:blipFill>
                    <a:blip r:embed="rId98"/>
                    <a:stretch>
                      <a:fillRect/>
                    </a:stretch>
                  </pic:blipFill>
                  <pic:spPr bwMode="auto">
                    <a:xfrm>
                      <a:off x="0" y="0"/>
                      <a:ext cx="5943600" cy="8216152"/>
                    </a:xfrm>
                    <a:prstGeom prst="rect">
                      <a:avLst/>
                    </a:prstGeom>
                    <a:noFill/>
                    <a:ln w="9525">
                      <a:noFill/>
                      <a:headEnd/>
                      <a:tailEnd/>
                    </a:ln>
                  </pic:spPr>
                </pic:pic>
              </a:graphicData>
            </a:graphic>
          </wp:inline>
        </w:drawing>
      </w:r>
      <w:bookmarkEnd w:id="99"/>
    </w:p>
    <w:p>
      <w:pPr>
        <w:pStyle w:val="ImageCaption"/>
      </w:pPr>
      <w:r>
        <w:t xml:space="preserve">Figure S7: Average Read Depth Per Species. Across all of the reference species (facet), the read depth of plasmids (orange) is considerably higher relative to chromosomes (blue), likely due to the copy number regime randomly assigned. Genomic islands (GIs; green) exhibited a relatively lower depth compared to chromosomes. The variability in depth is notably higher in and around GIs and plasmids.</w:t>
      </w:r>
    </w:p>
    <w:bookmarkEnd w:id="0"/>
    <w:bookmarkStart w:id="0" w:name="fig:perbasedepth_A,"/>
    <w:p>
      <w:pPr>
        <w:pStyle w:val="CaptionedFigure"/>
      </w:pPr>
      <w:bookmarkStart w:id="101" w:name="fig:perbasedepth_A,"/>
      <w:r>
        <w:drawing>
          <wp:inline>
            <wp:extent cx="5943600" cy="8216152"/>
            <wp:effectExtent b="0" l="0" r="0" t="0"/>
            <wp:docPr descr="Figure S8A: " title="" id="1" name="Picture"/>
            <a:graphic>
              <a:graphicData uri="http://schemas.openxmlformats.org/drawingml/2006/picture">
                <pic:pic>
                  <pic:nvPicPr>
                    <pic:cNvPr descr="images/PerBaseDepthBySpp_A.png" id="0" name="Picture"/>
                    <pic:cNvPicPr>
                      <a:picLocks noChangeArrowheads="1" noChangeAspect="1"/>
                    </pic:cNvPicPr>
                  </pic:nvPicPr>
                  <pic:blipFill>
                    <a:blip r:embed="rId100"/>
                    <a:stretch>
                      <a:fillRect/>
                    </a:stretch>
                  </pic:blipFill>
                  <pic:spPr bwMode="auto">
                    <a:xfrm>
                      <a:off x="0" y="0"/>
                      <a:ext cx="5943600" cy="8216152"/>
                    </a:xfrm>
                    <a:prstGeom prst="rect">
                      <a:avLst/>
                    </a:prstGeom>
                    <a:noFill/>
                    <a:ln w="9525">
                      <a:noFill/>
                      <a:headEnd/>
                      <a:tailEnd/>
                    </a:ln>
                  </pic:spPr>
                </pic:pic>
              </a:graphicData>
            </a:graphic>
          </wp:inline>
        </w:drawing>
      </w:r>
      <w:bookmarkEnd w:id="101"/>
    </w:p>
    <w:p>
      <w:pPr>
        <w:pStyle w:val="ImageCaption"/>
      </w:pPr>
      <w:r>
        <w:t xml:space="preserve">Figure S8A:</w:t>
      </w:r>
      <w:r>
        <w:t xml:space="preserve"> </w:t>
      </w:r>
    </w:p>
    <w:bookmarkEnd w:id="0"/>
    <w:bookmarkStart w:id="0" w:name="fig:perbasedepth,"/>
    <w:p>
      <w:pPr>
        <w:pStyle w:val="CaptionedFigure"/>
      </w:pPr>
      <w:bookmarkStart w:id="103" w:name="fig:perbasedepth,"/>
      <w:r>
        <w:drawing>
          <wp:inline>
            <wp:extent cx="5943600" cy="8216152"/>
            <wp:effectExtent b="0" l="0" r="0" t="0"/>
            <wp:docPr descr="Figure S8: Per Base Read Depth Per Species. The per base (x-axis) read depth (y-axis) of each species is plotted individually. Overall, the read depth of chromosomes (blue boxes) is much lower than depth of plasmids (orange boxes). Genomic islands within the chromosome are highlighted in green. At a per base level, we see a much lower depth at the beginning and the end of each replicon as well as a higher depth variability in GIs and plasmids." title="" id="1" name="Picture"/>
            <a:graphic>
              <a:graphicData uri="http://schemas.openxmlformats.org/drawingml/2006/picture">
                <pic:pic>
                  <pic:nvPicPr>
                    <pic:cNvPr descr="images/PerBaseDepthBySpp_B.png" id="0" name="Picture"/>
                    <pic:cNvPicPr>
                      <a:picLocks noChangeArrowheads="1" noChangeAspect="1"/>
                    </pic:cNvPicPr>
                  </pic:nvPicPr>
                  <pic:blipFill>
                    <a:blip r:embed="rId102"/>
                    <a:stretch>
                      <a:fillRect/>
                    </a:stretch>
                  </pic:blipFill>
                  <pic:spPr bwMode="auto">
                    <a:xfrm>
                      <a:off x="0" y="0"/>
                      <a:ext cx="5943600" cy="8216152"/>
                    </a:xfrm>
                    <a:prstGeom prst="rect">
                      <a:avLst/>
                    </a:prstGeom>
                    <a:noFill/>
                    <a:ln w="9525">
                      <a:noFill/>
                      <a:headEnd/>
                      <a:tailEnd/>
                    </a:ln>
                  </pic:spPr>
                </pic:pic>
              </a:graphicData>
            </a:graphic>
          </wp:inline>
        </w:drawing>
      </w:r>
      <w:bookmarkEnd w:id="103"/>
    </w:p>
    <w:p>
      <w:pPr>
        <w:pStyle w:val="ImageCaption"/>
      </w:pPr>
      <w:r>
        <w:t xml:space="preserve">Figure S8: Per Base Read Depth Per Species. The per base (x-axis) read depth (y-axis) of each species is plotted individually. Overall, the read depth of chromosomes (blue boxes) is much lower than depth of plasmids (orange boxes). Genomic islands within the chromosome are highlighted in green. At a per base level, we see a much lower depth at the beginning and the end of each replicon as well as a higher depth variability in GIs and plasmids.</w:t>
      </w:r>
    </w:p>
    <w:bookmarkEnd w:id="0"/>
    <w:p>
      <w:pPr>
        <w:pStyle w:val="Heading2"/>
      </w:pPr>
      <w:bookmarkStart w:id="104" w:name="data-bibliography"/>
      <w:r>
        <w:t xml:space="preserve">Data Bibliography</w:t>
      </w:r>
      <w:bookmarkEnd w:id="104"/>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(10.17605/OSF.IO/NREJS).</w:t>
      </w:r>
      <w:r>
        <w:t xml:space="preserve"> </w:t>
      </w:r>
      <w:r>
        <w:t xml:space="preserve">All analysis and plotting code used is available at</w:t>
      </w:r>
      <w:r>
        <w:t xml:space="preserve"> </w:t>
      </w:r>
      <w:hyperlink r:id="rId42">
        <w:r>
          <w:rPr>
            <w:rStyle w:val="Hyperlink"/>
          </w:rPr>
          <w:t xml:space="preserve">https://github.com/fmaguire/MAG_gi_plasmid_analysis</w:t>
        </w:r>
      </w:hyperlink>
      <w:r>
        <w:t xml:space="preserve"> </w:t>
      </w:r>
      <w:r>
        <w:t xml:space="preserve">(10.5281/zenodo.4005062).</w:t>
      </w:r>
    </w:p>
    <w:p>
      <w:pPr>
        <w:pStyle w:val="Heading2"/>
      </w:pPr>
      <w:bookmarkStart w:id="105" w:name="funding-information"/>
      <w:r>
        <w:t xml:space="preserve">Funding Information</w:t>
      </w:r>
      <w:bookmarkEnd w:id="105"/>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106" w:name="acknowledgements"/>
      <w:r>
        <w:t xml:space="preserve">Acknowledgements</w:t>
      </w:r>
      <w:bookmarkEnd w:id="106"/>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107" w:name="author-contributions"/>
      <w:r>
        <w:t xml:space="preserve">Author contributions</w:t>
      </w:r>
      <w:bookmarkEnd w:id="107"/>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108" w:name="conflict-of-interest"/>
      <w:r>
        <w:t xml:space="preserve">Conflict of Interest</w:t>
      </w:r>
      <w:bookmarkEnd w:id="108"/>
    </w:p>
    <w:p>
      <w:pPr>
        <w:pStyle w:val="FirstParagraph"/>
      </w:pPr>
      <w:r>
        <w:t xml:space="preserve">The authors declare no competing interests.</w:t>
      </w:r>
    </w:p>
    <w:p>
      <w:pPr>
        <w:pStyle w:val="Heading2"/>
      </w:pPr>
      <w:bookmarkStart w:id="109" w:name="references"/>
      <w:r>
        <w:t xml:space="preserve">References</w:t>
      </w:r>
      <w:bookmarkEnd w:id="109"/>
    </w:p>
    <w:bookmarkStart w:id="231" w:name="refs"/>
    <w:bookmarkStart w:id="110"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110"/>
    <w:bookmarkStart w:id="111"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11"/>
    <w:bookmarkStart w:id="112"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12"/>
    <w:bookmarkStart w:id="113"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13"/>
    <w:bookmarkStart w:id="114"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14"/>
    <w:bookmarkStart w:id="115"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15"/>
    <w:bookmarkStart w:id="116"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16"/>
    <w:bookmarkStart w:id="117"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17"/>
    <w:bookmarkStart w:id="119"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18">
        <w:r>
          <w:rPr>
            <w:rStyle w:val="Hyperlink"/>
          </w:rPr>
          <w:t xml:space="preserve">10.1093/gigascience/giz043</w:t>
        </w:r>
      </w:hyperlink>
      <w:r>
        <w:t xml:space="preserve">.</w:t>
      </w:r>
    </w:p>
    <w:bookmarkEnd w:id="119"/>
    <w:bookmarkStart w:id="121"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20">
        <w:r>
          <w:rPr>
            <w:rStyle w:val="Hyperlink"/>
          </w:rPr>
          <w:t xml:space="preserve">10.1186/s12866-019-1500-0</w:t>
        </w:r>
      </w:hyperlink>
      <w:r>
        <w:t xml:space="preserve">.</w:t>
      </w:r>
    </w:p>
    <w:bookmarkEnd w:id="121"/>
    <w:bookmarkStart w:id="122"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22"/>
    <w:bookmarkStart w:id="123"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23"/>
    <w:bookmarkStart w:id="124"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24"/>
    <w:bookmarkStart w:id="126"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25">
        <w:r>
          <w:rPr>
            <w:rStyle w:val="Hyperlink"/>
          </w:rPr>
          <w:t xml:space="preserve">10.1186/s12864-015-1419-2</w:t>
        </w:r>
      </w:hyperlink>
      <w:r>
        <w:t xml:space="preserve">.</w:t>
      </w:r>
    </w:p>
    <w:bookmarkEnd w:id="126"/>
    <w:bookmarkStart w:id="127"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27"/>
    <w:bookmarkStart w:id="128"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28"/>
    <w:bookmarkStart w:id="129"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29"/>
    <w:bookmarkStart w:id="130"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30"/>
    <w:bookmarkStart w:id="131"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31"/>
    <w:bookmarkStart w:id="132"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32"/>
    <w:bookmarkStart w:id="133"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33"/>
    <w:bookmarkStart w:id="134"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34"/>
    <w:bookmarkStart w:id="135"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35"/>
    <w:bookmarkStart w:id="137"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36">
        <w:r>
          <w:rPr>
            <w:rStyle w:val="Hyperlink"/>
          </w:rPr>
          <w:t xml:space="preserve">10.7287/peerj.preprints.27522v1</w:t>
        </w:r>
      </w:hyperlink>
      <w:r>
        <w:t xml:space="preserve">.</w:t>
      </w:r>
    </w:p>
    <w:bookmarkEnd w:id="137"/>
    <w:bookmarkStart w:id="138"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38"/>
    <w:bookmarkStart w:id="139"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39"/>
    <w:bookmarkStart w:id="140"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40"/>
    <w:bookmarkStart w:id="141"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41"/>
    <w:bookmarkStart w:id="143"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42">
        <w:r>
          <w:rPr>
            <w:rStyle w:val="Hyperlink"/>
          </w:rPr>
          <w:t xml:space="preserve">10.1101/489443</w:t>
        </w:r>
      </w:hyperlink>
      <w:r>
        <w:t xml:space="preserve">.</w:t>
      </w:r>
    </w:p>
    <w:bookmarkEnd w:id="143"/>
    <w:bookmarkStart w:id="144"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44"/>
    <w:bookmarkStart w:id="145"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45"/>
    <w:bookmarkStart w:id="147"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46">
        <w:r>
          <w:rPr>
            <w:rStyle w:val="Hyperlink"/>
          </w:rPr>
          <w:t xml:space="preserve">10.1093/gigascience/giy069</w:t>
        </w:r>
      </w:hyperlink>
      <w:r>
        <w:t xml:space="preserve">.</w:t>
      </w:r>
    </w:p>
    <w:bookmarkEnd w:id="147"/>
    <w:bookmarkStart w:id="149"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48">
        <w:r>
          <w:rPr>
            <w:rStyle w:val="Hyperlink"/>
          </w:rPr>
          <w:t xml:space="preserve">10.1186/s12859-020-03667-3</w:t>
        </w:r>
      </w:hyperlink>
      <w:r>
        <w:t xml:space="preserve">.</w:t>
      </w:r>
    </w:p>
    <w:bookmarkEnd w:id="149"/>
    <w:bookmarkStart w:id="150"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50"/>
    <w:bookmarkStart w:id="151"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51"/>
    <w:bookmarkStart w:id="152"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52"/>
    <w:bookmarkStart w:id="154"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53">
        <w:r>
          <w:rPr>
            <w:rStyle w:val="Hyperlink"/>
          </w:rPr>
          <w:t xml:space="preserve">10.3389/fmicb.2016.00173</w:t>
        </w:r>
      </w:hyperlink>
      <w:r>
        <w:t xml:space="preserve">.</w:t>
      </w:r>
    </w:p>
    <w:bookmarkEnd w:id="154"/>
    <w:bookmarkStart w:id="155"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55"/>
    <w:bookmarkStart w:id="156"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56"/>
    <w:bookmarkStart w:id="157"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57"/>
    <w:bookmarkStart w:id="158"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58"/>
    <w:bookmarkStart w:id="159"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59"/>
    <w:bookmarkStart w:id="161"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60">
        <w:r>
          <w:rPr>
            <w:rStyle w:val="Hyperlink"/>
          </w:rPr>
          <w:t xml:space="preserve">10.1038/s41559-016-0010</w:t>
        </w:r>
      </w:hyperlink>
      <w:r>
        <w:t xml:space="preserve">.</w:t>
      </w:r>
    </w:p>
    <w:bookmarkEnd w:id="161"/>
    <w:bookmarkStart w:id="162"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62"/>
    <w:bookmarkStart w:id="163"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63"/>
    <w:bookmarkStart w:id="164"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64"/>
    <w:bookmarkStart w:id="165"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65"/>
    <w:bookmarkStart w:id="166"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66"/>
    <w:bookmarkStart w:id="167"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67"/>
    <w:bookmarkStart w:id="168"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68"/>
    <w:bookmarkStart w:id="170"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69">
        <w:r>
          <w:rPr>
            <w:rStyle w:val="Hyperlink"/>
          </w:rPr>
          <w:t xml:space="preserve">10.1186/s12864-017-4429-4</w:t>
        </w:r>
      </w:hyperlink>
      <w:r>
        <w:t xml:space="preserve">.</w:t>
      </w:r>
    </w:p>
    <w:bookmarkEnd w:id="170"/>
    <w:bookmarkStart w:id="171"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71"/>
    <w:bookmarkStart w:id="173"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72">
        <w:r>
          <w:rPr>
            <w:rStyle w:val="Hyperlink"/>
          </w:rPr>
          <w:t xml:space="preserve">10.1099/mgen.0.000128</w:t>
        </w:r>
      </w:hyperlink>
      <w:r>
        <w:t xml:space="preserve">.</w:t>
      </w:r>
    </w:p>
    <w:bookmarkEnd w:id="173"/>
    <w:bookmarkStart w:id="174"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74"/>
    <w:bookmarkStart w:id="176"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75">
        <w:r>
          <w:rPr>
            <w:rStyle w:val="Hyperlink"/>
          </w:rPr>
          <w:t xml:space="preserve">https://github.com/najoshi/sickle</w:t>
        </w:r>
      </w:hyperlink>
      <w:r>
        <w:t xml:space="preserve"> </w:t>
      </w:r>
      <w:r>
        <w:t xml:space="preserve">(2011).</w:t>
      </w:r>
    </w:p>
    <w:bookmarkEnd w:id="176"/>
    <w:bookmarkStart w:id="177"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77"/>
    <w:bookmarkStart w:id="178"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78"/>
    <w:bookmarkStart w:id="179"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79"/>
    <w:bookmarkStart w:id="180"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80"/>
    <w:bookmarkStart w:id="181"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81"/>
    <w:bookmarkStart w:id="182"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82"/>
    <w:bookmarkStart w:id="183"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83"/>
    <w:bookmarkStart w:id="184" w:name="ref-1HcDy95aA"/>
    <w:p>
      <w:pPr>
        <w:pStyle w:val="Bibliography"/>
      </w:pPr>
      <w:r>
        <w:t xml:space="preserve">63.</w:t>
      </w:r>
      <w:r>
        <w:t xml:space="preserve"> </w:t>
      </w:r>
      <w:r>
        <w:rPr>
          <w:b/>
        </w:rPr>
        <w:t xml:space="preserve">Letunic I, Bork P</w:t>
      </w:r>
      <w:r>
        <w:t xml:space="preserve">. Interactive Tree Of Life (iTOL) v4: recent updates and new developments.</w:t>
      </w:r>
      <w:r>
        <w:t xml:space="preserve"> </w:t>
      </w:r>
      <w:r>
        <w:rPr>
          <w:i/>
        </w:rPr>
        <w:t xml:space="preserve">Nucleic Acids Research</w:t>
      </w:r>
      <w:r>
        <w:t xml:space="preserve"> </w:t>
      </w:r>
      <w:r>
        <w:t xml:space="preserve">2019;47:W256–W259.</w:t>
      </w:r>
    </w:p>
    <w:bookmarkEnd w:id="184"/>
    <w:bookmarkStart w:id="185" w:name="ref-5F7ii9Ji"/>
    <w:p>
      <w:pPr>
        <w:pStyle w:val="Bibliography"/>
      </w:pPr>
      <w:r>
        <w:t xml:space="preserve">64.</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85"/>
    <w:bookmarkStart w:id="187" w:name="ref-LeLYF4iC"/>
    <w:p>
      <w:pPr>
        <w:pStyle w:val="Bibliography"/>
      </w:pPr>
      <w:r>
        <w:t xml:space="preserve">65.</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86">
        <w:r>
          <w:rPr>
            <w:rStyle w:val="Hyperlink"/>
          </w:rPr>
          <w:t xml:space="preserve">10.5281/zenodo.3629446</w:t>
        </w:r>
      </w:hyperlink>
      <w:r>
        <w:t xml:space="preserve">.</w:t>
      </w:r>
    </w:p>
    <w:bookmarkEnd w:id="187"/>
    <w:bookmarkStart w:id="189" w:name="ref-15kEEkiul"/>
    <w:p>
      <w:pPr>
        <w:pStyle w:val="Bibliography"/>
      </w:pPr>
      <w:r>
        <w:t xml:space="preserve">66.</w:t>
      </w:r>
      <w:r>
        <w:t xml:space="preserve"> </w:t>
      </w:r>
      <w:r>
        <w:rPr>
          <w:b/>
        </w:rPr>
        <w:t xml:space="preserve">Seabold S, Perktold J</w:t>
      </w:r>
      <w:r>
        <w:t xml:space="preserve">. Statsmodels: Econometric and Statistical Modeling with Python.</w:t>
      </w:r>
      <w:r>
        <w:t xml:space="preserve"> </w:t>
      </w:r>
      <w:r>
        <w:rPr>
          <w:i/>
        </w:rPr>
        <w:t xml:space="preserve">SciPy</w:t>
      </w:r>
      <w:r>
        <w:t xml:space="preserve">. Epub ahead of print 2010. DOI:</w:t>
      </w:r>
      <w:r>
        <w:t xml:space="preserve"> </w:t>
      </w:r>
      <w:hyperlink r:id="rId188">
        <w:r>
          <w:rPr>
            <w:rStyle w:val="Hyperlink"/>
          </w:rPr>
          <w:t xml:space="preserve">10.25080/majora-92bf1922-011</w:t>
        </w:r>
      </w:hyperlink>
      <w:r>
        <w:t xml:space="preserve">.</w:t>
      </w:r>
    </w:p>
    <w:bookmarkEnd w:id="189"/>
    <w:bookmarkStart w:id="191" w:name="ref-lX665mdh"/>
    <w:p>
      <w:pPr>
        <w:pStyle w:val="Bibliography"/>
      </w:pPr>
      <w:r>
        <w:t xml:space="preserve">67.</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90">
        <w:r>
          <w:rPr>
            <w:rStyle w:val="Hyperlink"/>
          </w:rPr>
          <w:t xml:space="preserve">10.1186/1471-2105-11-119</w:t>
        </w:r>
      </w:hyperlink>
      <w:r>
        <w:t xml:space="preserve">.</w:t>
      </w:r>
    </w:p>
    <w:bookmarkEnd w:id="191"/>
    <w:bookmarkStart w:id="193" w:name="ref-nvbyXyPe"/>
    <w:p>
      <w:pPr>
        <w:pStyle w:val="Bibliography"/>
      </w:pPr>
      <w:r>
        <w:t xml:space="preserve">68.</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92">
        <w:r>
          <w:rPr>
            <w:rStyle w:val="Hyperlink"/>
          </w:rPr>
          <w:t xml:space="preserve">10.1093/nar/gkz935</w:t>
        </w:r>
      </w:hyperlink>
      <w:r>
        <w:t xml:space="preserve">.</w:t>
      </w:r>
    </w:p>
    <w:bookmarkEnd w:id="193"/>
    <w:bookmarkStart w:id="194" w:name="ref-pYB1SP5"/>
    <w:p>
      <w:pPr>
        <w:pStyle w:val="Bibliography"/>
      </w:pPr>
      <w:r>
        <w:t xml:space="preserve">69.</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94"/>
    <w:bookmarkStart w:id="196" w:name="ref-5bpLJeyh"/>
    <w:p>
      <w:pPr>
        <w:pStyle w:val="Bibliography"/>
      </w:pPr>
      <w:r>
        <w:t xml:space="preserve">70.</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95">
        <w:r>
          <w:rPr>
            <w:rStyle w:val="Hyperlink"/>
          </w:rPr>
          <w:t xml:space="preserve">10.1101/2020.01.12.903252</w:t>
        </w:r>
      </w:hyperlink>
      <w:r>
        <w:t xml:space="preserve">.</w:t>
      </w:r>
    </w:p>
    <w:bookmarkEnd w:id="196"/>
    <w:bookmarkStart w:id="198" w:name="ref-GW6Ed5Sw"/>
    <w:p>
      <w:pPr>
        <w:pStyle w:val="Bibliography"/>
      </w:pPr>
      <w:r>
        <w:t xml:space="preserve">71.</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97">
        <w:r>
          <w:rPr>
            <w:rStyle w:val="Hyperlink"/>
          </w:rPr>
          <w:t xml:space="preserve">10.1101/2020.04.08.032540</w:t>
        </w:r>
      </w:hyperlink>
      <w:r>
        <w:t xml:space="preserve">.</w:t>
      </w:r>
    </w:p>
    <w:bookmarkEnd w:id="198"/>
    <w:bookmarkStart w:id="200" w:name="ref-8IMKGJe4"/>
    <w:p>
      <w:pPr>
        <w:pStyle w:val="Bibliography"/>
      </w:pPr>
      <w:r>
        <w:t xml:space="preserve">72.</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99">
        <w:r>
          <w:rPr>
            <w:rStyle w:val="Hyperlink"/>
          </w:rPr>
          <w:t xml:space="preserve">10.1186/s40168-019-0737-z</w:t>
        </w:r>
      </w:hyperlink>
      <w:r>
        <w:t xml:space="preserve">.</w:t>
      </w:r>
    </w:p>
    <w:bookmarkEnd w:id="200"/>
    <w:bookmarkStart w:id="202" w:name="ref-cMfI5dpb"/>
    <w:p>
      <w:pPr>
        <w:pStyle w:val="Bibliography"/>
      </w:pPr>
      <w:r>
        <w:t xml:space="preserve">73.</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201">
        <w:r>
          <w:rPr>
            <w:rStyle w:val="Hyperlink"/>
          </w:rPr>
          <w:t xml:space="preserve">10.1099/mgen.0.000293</w:t>
        </w:r>
      </w:hyperlink>
      <w:r>
        <w:t xml:space="preserve">.</w:t>
      </w:r>
    </w:p>
    <w:bookmarkEnd w:id="202"/>
    <w:bookmarkStart w:id="203" w:name="ref-YRviGlC7"/>
    <w:p>
      <w:pPr>
        <w:pStyle w:val="Bibliography"/>
      </w:pPr>
      <w:r>
        <w:t xml:space="preserve">74.</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203"/>
    <w:bookmarkStart w:id="204" w:name="ref-FONzPbL9"/>
    <w:p>
      <w:pPr>
        <w:pStyle w:val="Bibliography"/>
      </w:pPr>
      <w:r>
        <w:t xml:space="preserve">75.</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204"/>
    <w:bookmarkStart w:id="206" w:name="ref-fQs94ZPa"/>
    <w:p>
      <w:pPr>
        <w:pStyle w:val="Bibliography"/>
      </w:pPr>
      <w:r>
        <w:t xml:space="preserve">76.</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205">
        <w:r>
          <w:rPr>
            <w:rStyle w:val="Hyperlink"/>
          </w:rPr>
          <w:t xml:space="preserve">10.3389/fmicb.2017.02036</w:t>
        </w:r>
      </w:hyperlink>
      <w:r>
        <w:t xml:space="preserve">.</w:t>
      </w:r>
    </w:p>
    <w:bookmarkEnd w:id="206"/>
    <w:bookmarkStart w:id="208" w:name="ref-WJT5of5h"/>
    <w:p>
      <w:pPr>
        <w:pStyle w:val="Bibliography"/>
      </w:pPr>
      <w:r>
        <w:t xml:space="preserve">77.</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207">
        <w:r>
          <w:rPr>
            <w:rStyle w:val="Hyperlink"/>
          </w:rPr>
          <w:t xml:space="preserve">10.1128/aem.02577-16</w:t>
        </w:r>
      </w:hyperlink>
      <w:r>
        <w:t xml:space="preserve">.</w:t>
      </w:r>
    </w:p>
    <w:bookmarkEnd w:id="208"/>
    <w:bookmarkStart w:id="209" w:name="ref-1EZyZrHhJ"/>
    <w:p>
      <w:pPr>
        <w:pStyle w:val="Bibliography"/>
      </w:pPr>
      <w:r>
        <w:t xml:space="preserve">78.</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209"/>
    <w:bookmarkStart w:id="211" w:name="ref-MdKqt622"/>
    <w:p>
      <w:pPr>
        <w:pStyle w:val="Bibliography"/>
      </w:pPr>
      <w:r>
        <w:t xml:space="preserve">79.</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210">
        <w:r>
          <w:rPr>
            <w:rStyle w:val="Hyperlink"/>
          </w:rPr>
          <w:t xml:space="preserve">10.1186/s12879-017-2727-8</w:t>
        </w:r>
      </w:hyperlink>
      <w:r>
        <w:t xml:space="preserve">.</w:t>
      </w:r>
    </w:p>
    <w:bookmarkEnd w:id="211"/>
    <w:bookmarkStart w:id="212" w:name="ref-zxPEyXfK"/>
    <w:p>
      <w:pPr>
        <w:pStyle w:val="Bibliography"/>
      </w:pPr>
      <w:r>
        <w:t xml:space="preserve">80.</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212"/>
    <w:bookmarkStart w:id="214" w:name="ref-mUmGRb3J"/>
    <w:p>
      <w:pPr>
        <w:pStyle w:val="Bibliography"/>
      </w:pPr>
      <w:r>
        <w:t xml:space="preserve">81.</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13">
        <w:r>
          <w:rPr>
            <w:rStyle w:val="Hyperlink"/>
          </w:rPr>
          <w:t xml:space="preserve">10.1038/s41598-017-07790-9</w:t>
        </w:r>
      </w:hyperlink>
      <w:r>
        <w:t xml:space="preserve">.</w:t>
      </w:r>
    </w:p>
    <w:bookmarkEnd w:id="214"/>
    <w:bookmarkStart w:id="215" w:name="ref-IkpDSlIL"/>
    <w:p>
      <w:pPr>
        <w:pStyle w:val="Bibliography"/>
      </w:pPr>
      <w:r>
        <w:t xml:space="preserve">82.</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15"/>
    <w:bookmarkStart w:id="216" w:name="ref-WU7NeQcW"/>
    <w:p>
      <w:pPr>
        <w:pStyle w:val="Bibliography"/>
      </w:pPr>
      <w:r>
        <w:t xml:space="preserve">83.</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16"/>
    <w:bookmarkStart w:id="217" w:name="ref-3KTnNd66"/>
    <w:p>
      <w:pPr>
        <w:pStyle w:val="Bibliography"/>
      </w:pPr>
      <w:r>
        <w:t xml:space="preserve">84.</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17"/>
    <w:bookmarkStart w:id="219" w:name="ref-69R3Dd1j"/>
    <w:p>
      <w:pPr>
        <w:pStyle w:val="Bibliography"/>
      </w:pPr>
      <w:r>
        <w:t xml:space="preserve">85.</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18">
        <w:r>
          <w:rPr>
            <w:rStyle w:val="Hyperlink"/>
          </w:rPr>
          <w:t xml:space="preserve">10.1038/s41598-017-12481-6</w:t>
        </w:r>
      </w:hyperlink>
      <w:r>
        <w:t xml:space="preserve">.</w:t>
      </w:r>
    </w:p>
    <w:bookmarkEnd w:id="219"/>
    <w:bookmarkStart w:id="220" w:name="ref-1G6diFMw9"/>
    <w:p>
      <w:pPr>
        <w:pStyle w:val="Bibliography"/>
      </w:pPr>
      <w:r>
        <w:t xml:space="preserve">86.</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20"/>
    <w:bookmarkStart w:id="221" w:name="ref-IGRAdpaI"/>
    <w:p>
      <w:pPr>
        <w:pStyle w:val="Bibliography"/>
      </w:pPr>
      <w:r>
        <w:t xml:space="preserve">87.</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21"/>
    <w:bookmarkStart w:id="223" w:name="ref-4A1l9TZE"/>
    <w:p>
      <w:pPr>
        <w:pStyle w:val="Bibliography"/>
      </w:pPr>
      <w:r>
        <w:t xml:space="preserve">88.</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22">
        <w:r>
          <w:rPr>
            <w:rStyle w:val="Hyperlink"/>
          </w:rPr>
          <w:t xml:space="preserve">10.1038/s41467-020-17278-2</w:t>
        </w:r>
      </w:hyperlink>
      <w:r>
        <w:t xml:space="preserve">.</w:t>
      </w:r>
    </w:p>
    <w:bookmarkEnd w:id="223"/>
    <w:bookmarkStart w:id="225" w:name="ref-18qKF2jNL"/>
    <w:p>
      <w:pPr>
        <w:pStyle w:val="Bibliography"/>
      </w:pPr>
      <w:r>
        <w:t xml:space="preserve">89.</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24">
        <w:r>
          <w:rPr>
            <w:rStyle w:val="Hyperlink"/>
          </w:rPr>
          <w:t xml:space="preserve">10.1186/s40168-019-0633-6</w:t>
        </w:r>
      </w:hyperlink>
      <w:r>
        <w:t xml:space="preserve">.</w:t>
      </w:r>
    </w:p>
    <w:bookmarkEnd w:id="225"/>
    <w:bookmarkStart w:id="227" w:name="ref-4jGCH8lH"/>
    <w:p>
      <w:pPr>
        <w:pStyle w:val="Bibliography"/>
      </w:pPr>
      <w:r>
        <w:t xml:space="preserve">90.</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26">
        <w:r>
          <w:rPr>
            <w:rStyle w:val="Hyperlink"/>
          </w:rPr>
          <w:t xml:space="preserve">10.1128/msystems.00062-16</w:t>
        </w:r>
      </w:hyperlink>
      <w:r>
        <w:t xml:space="preserve">.</w:t>
      </w:r>
    </w:p>
    <w:bookmarkEnd w:id="227"/>
    <w:bookmarkStart w:id="228" w:name="ref-1G5MoLsVr"/>
    <w:p>
      <w:pPr>
        <w:pStyle w:val="Bibliography"/>
      </w:pPr>
      <w:r>
        <w:t xml:space="preserve">91.</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28"/>
    <w:bookmarkStart w:id="230" w:name="ref-1FgkF8i4W"/>
    <w:p>
      <w:pPr>
        <w:pStyle w:val="Bibliography"/>
      </w:pPr>
      <w:r>
        <w:t xml:space="preserve">92.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29">
        <w:r>
          <w:rPr>
            <w:rStyle w:val="Hyperlink"/>
          </w:rPr>
          <w:t xml:space="preserve">10.1099/mgen.0.000131</w:t>
        </w:r>
      </w:hyperlink>
      <w:r>
        <w:t xml:space="preserve">.</w:t>
      </w:r>
    </w:p>
    <w:bookmarkEnd w:id="230"/>
    <w:bookmarkEnd w:id="231"/>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89" Target="media/rId89.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22" Target="https://doi.org/10.1038/s41467-020-17278-2" TargetMode="External" /><Relationship Type="http://schemas.openxmlformats.org/officeDocument/2006/relationships/hyperlink" Id="rId160" Target="https://doi.org/10.1038/s41559-016-0010" TargetMode="External" /><Relationship Type="http://schemas.openxmlformats.org/officeDocument/2006/relationships/hyperlink" Id="rId213" Target="https://doi.org/10.1038/s41598-017-07790-9" TargetMode="External" /><Relationship Type="http://schemas.openxmlformats.org/officeDocument/2006/relationships/hyperlink" Id="rId218" Target="https://doi.org/10.1038/s41598-017-12481-6" TargetMode="External" /><Relationship Type="http://schemas.openxmlformats.org/officeDocument/2006/relationships/hyperlink" Id="rId146" Target="https://doi.org/10.1093/gigascience/giy069" TargetMode="External" /><Relationship Type="http://schemas.openxmlformats.org/officeDocument/2006/relationships/hyperlink" Id="rId118" Target="https://doi.org/10.1093/gigascience/giz043" TargetMode="External" /><Relationship Type="http://schemas.openxmlformats.org/officeDocument/2006/relationships/hyperlink" Id="rId192" Target="https://doi.org/10.1093/nar/gkz935" TargetMode="External" /><Relationship Type="http://schemas.openxmlformats.org/officeDocument/2006/relationships/hyperlink" Id="rId172" Target="https://doi.org/10.1099/mgen.0.000128" TargetMode="External" /><Relationship Type="http://schemas.openxmlformats.org/officeDocument/2006/relationships/hyperlink" Id="rId229" Target="https://doi.org/10.1099/mgen.0.000131" TargetMode="External" /><Relationship Type="http://schemas.openxmlformats.org/officeDocument/2006/relationships/hyperlink" Id="rId201" Target="https://doi.org/10.1099/mgen.0.000293" TargetMode="External" /><Relationship Type="http://schemas.openxmlformats.org/officeDocument/2006/relationships/hyperlink" Id="rId195" Target="https://doi.org/10.1101/2020.01.12.903252" TargetMode="External" /><Relationship Type="http://schemas.openxmlformats.org/officeDocument/2006/relationships/hyperlink" Id="rId197" Target="https://doi.org/10.1101/2020.04.08.032540" TargetMode="External" /><Relationship Type="http://schemas.openxmlformats.org/officeDocument/2006/relationships/hyperlink" Id="rId142" Target="https://doi.org/10.1101/489443" TargetMode="External" /><Relationship Type="http://schemas.openxmlformats.org/officeDocument/2006/relationships/hyperlink" Id="rId207" Target="https://doi.org/10.1128/aem.02577-16" TargetMode="External" /><Relationship Type="http://schemas.openxmlformats.org/officeDocument/2006/relationships/hyperlink" Id="rId226" Target="https://doi.org/10.1128/msystems.00062-16" TargetMode="External" /><Relationship Type="http://schemas.openxmlformats.org/officeDocument/2006/relationships/hyperlink" Id="rId190" Target="https://doi.org/10.1186/1471-2105-11-119" TargetMode="External" /><Relationship Type="http://schemas.openxmlformats.org/officeDocument/2006/relationships/hyperlink" Id="rId148" Target="https://doi.org/10.1186/s12859-020-03667-3" TargetMode="External" /><Relationship Type="http://schemas.openxmlformats.org/officeDocument/2006/relationships/hyperlink" Id="rId125" Target="https://doi.org/10.1186/s12864-015-1419-2" TargetMode="External" /><Relationship Type="http://schemas.openxmlformats.org/officeDocument/2006/relationships/hyperlink" Id="rId169" Target="https://doi.org/10.1186/s12864-017-4429-4" TargetMode="External" /><Relationship Type="http://schemas.openxmlformats.org/officeDocument/2006/relationships/hyperlink" Id="rId120" Target="https://doi.org/10.1186/s12866-019-1500-0" TargetMode="External" /><Relationship Type="http://schemas.openxmlformats.org/officeDocument/2006/relationships/hyperlink" Id="rId210" Target="https://doi.org/10.1186/s12879-017-2727-8" TargetMode="External" /><Relationship Type="http://schemas.openxmlformats.org/officeDocument/2006/relationships/hyperlink" Id="rId224" Target="https://doi.org/10.1186/s40168-019-0633-6" TargetMode="External" /><Relationship Type="http://schemas.openxmlformats.org/officeDocument/2006/relationships/hyperlink" Id="rId199" Target="https://doi.org/10.1186/s40168-019-0737-z" TargetMode="External" /><Relationship Type="http://schemas.openxmlformats.org/officeDocument/2006/relationships/hyperlink" Id="rId188" Target="https://doi.org/10.25080/majora-92bf1922-011" TargetMode="External" /><Relationship Type="http://schemas.openxmlformats.org/officeDocument/2006/relationships/hyperlink" Id="rId153" Target="https://doi.org/10.3389/fmicb.2016.00173" TargetMode="External" /><Relationship Type="http://schemas.openxmlformats.org/officeDocument/2006/relationships/hyperlink" Id="rId205" Target="https://doi.org/10.3389/fmicb.2017.02036" TargetMode="External" /><Relationship Type="http://schemas.openxmlformats.org/officeDocument/2006/relationships/hyperlink" Id="rId186" Target="https://doi.org/10.5281/zenodo.3629446" TargetMode="External" /><Relationship Type="http://schemas.openxmlformats.org/officeDocument/2006/relationships/hyperlink" Id="rId136" Target="https://doi.org/10.7287/peerj.preprints.27522v1" TargetMode="External" /><Relationship Type="http://schemas.openxmlformats.org/officeDocument/2006/relationships/hyperlink" Id="rId20" Target="https://fmaguire.github.io/mag_sim_paper/v/054274b7f3af64fe7cc8a726acdacbc30ed12265/"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054274b7f3af64fe7cc8a726acdacbc30ed12265" TargetMode="External" /><Relationship Type="http://schemas.openxmlformats.org/officeDocument/2006/relationships/hyperlink" Id="rId30" Target="https://github.com/imasianxd" TargetMode="External" /><Relationship Type="http://schemas.openxmlformats.org/officeDocument/2006/relationships/hyperlink" Id="rId175"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22" Target="https://doi.org/10.1038/s41467-020-17278-2" TargetMode="External" /><Relationship Type="http://schemas.openxmlformats.org/officeDocument/2006/relationships/hyperlink" Id="rId160" Target="https://doi.org/10.1038/s41559-016-0010" TargetMode="External" /><Relationship Type="http://schemas.openxmlformats.org/officeDocument/2006/relationships/hyperlink" Id="rId213" Target="https://doi.org/10.1038/s41598-017-07790-9" TargetMode="External" /><Relationship Type="http://schemas.openxmlformats.org/officeDocument/2006/relationships/hyperlink" Id="rId218" Target="https://doi.org/10.1038/s41598-017-12481-6" TargetMode="External" /><Relationship Type="http://schemas.openxmlformats.org/officeDocument/2006/relationships/hyperlink" Id="rId146" Target="https://doi.org/10.1093/gigascience/giy069" TargetMode="External" /><Relationship Type="http://schemas.openxmlformats.org/officeDocument/2006/relationships/hyperlink" Id="rId118" Target="https://doi.org/10.1093/gigascience/giz043" TargetMode="External" /><Relationship Type="http://schemas.openxmlformats.org/officeDocument/2006/relationships/hyperlink" Id="rId192" Target="https://doi.org/10.1093/nar/gkz935" TargetMode="External" /><Relationship Type="http://schemas.openxmlformats.org/officeDocument/2006/relationships/hyperlink" Id="rId172" Target="https://doi.org/10.1099/mgen.0.000128" TargetMode="External" /><Relationship Type="http://schemas.openxmlformats.org/officeDocument/2006/relationships/hyperlink" Id="rId229" Target="https://doi.org/10.1099/mgen.0.000131" TargetMode="External" /><Relationship Type="http://schemas.openxmlformats.org/officeDocument/2006/relationships/hyperlink" Id="rId201" Target="https://doi.org/10.1099/mgen.0.000293" TargetMode="External" /><Relationship Type="http://schemas.openxmlformats.org/officeDocument/2006/relationships/hyperlink" Id="rId195" Target="https://doi.org/10.1101/2020.01.12.903252" TargetMode="External" /><Relationship Type="http://schemas.openxmlformats.org/officeDocument/2006/relationships/hyperlink" Id="rId197" Target="https://doi.org/10.1101/2020.04.08.032540" TargetMode="External" /><Relationship Type="http://schemas.openxmlformats.org/officeDocument/2006/relationships/hyperlink" Id="rId142" Target="https://doi.org/10.1101/489443" TargetMode="External" /><Relationship Type="http://schemas.openxmlformats.org/officeDocument/2006/relationships/hyperlink" Id="rId207" Target="https://doi.org/10.1128/aem.02577-16" TargetMode="External" /><Relationship Type="http://schemas.openxmlformats.org/officeDocument/2006/relationships/hyperlink" Id="rId226" Target="https://doi.org/10.1128/msystems.00062-16" TargetMode="External" /><Relationship Type="http://schemas.openxmlformats.org/officeDocument/2006/relationships/hyperlink" Id="rId190" Target="https://doi.org/10.1186/1471-2105-11-119" TargetMode="External" /><Relationship Type="http://schemas.openxmlformats.org/officeDocument/2006/relationships/hyperlink" Id="rId148" Target="https://doi.org/10.1186/s12859-020-03667-3" TargetMode="External" /><Relationship Type="http://schemas.openxmlformats.org/officeDocument/2006/relationships/hyperlink" Id="rId125" Target="https://doi.org/10.1186/s12864-015-1419-2" TargetMode="External" /><Relationship Type="http://schemas.openxmlformats.org/officeDocument/2006/relationships/hyperlink" Id="rId169" Target="https://doi.org/10.1186/s12864-017-4429-4" TargetMode="External" /><Relationship Type="http://schemas.openxmlformats.org/officeDocument/2006/relationships/hyperlink" Id="rId120" Target="https://doi.org/10.1186/s12866-019-1500-0" TargetMode="External" /><Relationship Type="http://schemas.openxmlformats.org/officeDocument/2006/relationships/hyperlink" Id="rId210" Target="https://doi.org/10.1186/s12879-017-2727-8" TargetMode="External" /><Relationship Type="http://schemas.openxmlformats.org/officeDocument/2006/relationships/hyperlink" Id="rId224" Target="https://doi.org/10.1186/s40168-019-0633-6" TargetMode="External" /><Relationship Type="http://schemas.openxmlformats.org/officeDocument/2006/relationships/hyperlink" Id="rId199" Target="https://doi.org/10.1186/s40168-019-0737-z" TargetMode="External" /><Relationship Type="http://schemas.openxmlformats.org/officeDocument/2006/relationships/hyperlink" Id="rId188" Target="https://doi.org/10.25080/majora-92bf1922-011" TargetMode="External" /><Relationship Type="http://schemas.openxmlformats.org/officeDocument/2006/relationships/hyperlink" Id="rId153" Target="https://doi.org/10.3389/fmicb.2016.00173" TargetMode="External" /><Relationship Type="http://schemas.openxmlformats.org/officeDocument/2006/relationships/hyperlink" Id="rId205" Target="https://doi.org/10.3389/fmicb.2017.02036" TargetMode="External" /><Relationship Type="http://schemas.openxmlformats.org/officeDocument/2006/relationships/hyperlink" Id="rId186" Target="https://doi.org/10.5281/zenodo.3629446" TargetMode="External" /><Relationship Type="http://schemas.openxmlformats.org/officeDocument/2006/relationships/hyperlink" Id="rId136" Target="https://doi.org/10.7287/peerj.preprints.27522v1" TargetMode="External" /><Relationship Type="http://schemas.openxmlformats.org/officeDocument/2006/relationships/hyperlink" Id="rId20" Target="https://fmaguire.github.io/mag_sim_paper/v/054274b7f3af64fe7cc8a726acdacbc30ed12265/"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054274b7f3af64fe7cc8a726acdacbc30ed12265" TargetMode="External" /><Relationship Type="http://schemas.openxmlformats.org/officeDocument/2006/relationships/hyperlink" Id="rId30" Target="https://github.com/imasianxd" TargetMode="External" /><Relationship Type="http://schemas.openxmlformats.org/officeDocument/2006/relationships/hyperlink" Id="rId175"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2020-08-28T14:43:57Z</dcterms:created>
  <dcterms:modified xsi:type="dcterms:W3CDTF">2020-08-28T14:43:57Z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